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1E" w:rsidRPr="00301FEF" w:rsidRDefault="00E5031E" w:rsidP="00E5031E">
      <w:pPr>
        <w:ind w:left="4963"/>
        <w:jc w:val="center"/>
        <w:rPr>
          <w:b/>
          <w:sz w:val="24"/>
          <w:szCs w:val="24"/>
          <w:lang w:val="uz-Cyrl-UZ"/>
        </w:rPr>
      </w:pPr>
      <w:bookmarkStart w:id="0" w:name="_GoBack"/>
      <w:bookmarkEnd w:id="0"/>
    </w:p>
    <w:p w:rsidR="00E5031E" w:rsidRPr="00301FEF" w:rsidRDefault="00E5031E" w:rsidP="00E5031E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r w:rsidRPr="00301FEF">
        <w:rPr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50"/>
      </w:tblGrid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jc w:val="center"/>
              <w:rPr>
                <w:b/>
                <w:sz w:val="23"/>
                <w:szCs w:val="23"/>
              </w:rPr>
            </w:pPr>
            <w:r w:rsidRPr="00157A2B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157A2B">
              <w:rPr>
                <w:b/>
                <w:sz w:val="23"/>
                <w:szCs w:val="23"/>
              </w:rPr>
              <w:t>п</w:t>
            </w:r>
            <w:proofErr w:type="gramEnd"/>
            <w:r w:rsidRPr="00157A2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jc w:val="center"/>
              <w:rPr>
                <w:b/>
                <w:sz w:val="23"/>
                <w:szCs w:val="23"/>
              </w:rPr>
            </w:pPr>
            <w:r w:rsidRPr="00157A2B">
              <w:rPr>
                <w:b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jc w:val="center"/>
              <w:rPr>
                <w:b/>
                <w:sz w:val="23"/>
                <w:szCs w:val="23"/>
              </w:rPr>
            </w:pPr>
            <w:r w:rsidRPr="00157A2B">
              <w:rPr>
                <w:b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Заказчик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color w:val="FF0000"/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157A2B">
              <w:rPr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color w:val="FF0000"/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Вид строительства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157A2B">
              <w:rPr>
                <w:sz w:val="23"/>
                <w:szCs w:val="23"/>
              </w:rPr>
              <w:t>Ангренском</w:t>
            </w:r>
            <w:proofErr w:type="spellEnd"/>
            <w:r w:rsidRPr="00157A2B">
              <w:rPr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Собственные средства Банка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5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ООО «</w:t>
            </w:r>
            <w:proofErr w:type="spellStart"/>
            <w:r w:rsidRPr="00157A2B">
              <w:rPr>
                <w:sz w:val="23"/>
                <w:szCs w:val="23"/>
              </w:rPr>
              <w:t>Техникстройтранс</w:t>
            </w:r>
            <w:proofErr w:type="spellEnd"/>
            <w:r w:rsidRPr="00157A2B">
              <w:rPr>
                <w:sz w:val="23"/>
                <w:szCs w:val="23"/>
              </w:rPr>
              <w:t>»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6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Требование к участнику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Наличие машин и </w:t>
            </w:r>
            <w:proofErr w:type="gramStart"/>
            <w:r w:rsidRPr="00157A2B">
              <w:rPr>
                <w:sz w:val="23"/>
                <w:szCs w:val="23"/>
              </w:rPr>
              <w:t>механизмов</w:t>
            </w:r>
            <w:proofErr w:type="gramEnd"/>
            <w:r w:rsidRPr="00157A2B">
              <w:rPr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>
              <w:rPr>
                <w:sz w:val="23"/>
                <w:szCs w:val="23"/>
              </w:rPr>
              <w:t xml:space="preserve">ицированных рабочих (каменщик, </w:t>
            </w:r>
            <w:r w:rsidRPr="00157A2B">
              <w:rPr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157A2B">
              <w:rPr>
                <w:sz w:val="23"/>
                <w:szCs w:val="23"/>
              </w:rPr>
              <w:t>строительстве</w:t>
            </w:r>
            <w:proofErr w:type="gramEnd"/>
            <w:r w:rsidRPr="00157A2B">
              <w:rPr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7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50" w:type="dxa"/>
            <w:vAlign w:val="center"/>
          </w:tcPr>
          <w:p w:rsidR="00892F9C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Участники: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proofErr w:type="gramStart"/>
            <w:r w:rsidRPr="00157A2B">
              <w:rPr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-</w:t>
            </w:r>
            <w:proofErr w:type="gramStart"/>
            <w:r w:rsidRPr="00157A2B">
              <w:rPr>
                <w:sz w:val="23"/>
                <w:szCs w:val="23"/>
              </w:rPr>
              <w:t>находящиеся</w:t>
            </w:r>
            <w:proofErr w:type="gramEnd"/>
            <w:r w:rsidRPr="00157A2B">
              <w:rPr>
                <w:sz w:val="23"/>
                <w:szCs w:val="23"/>
              </w:rPr>
              <w:t xml:space="preserve"> в Едино</w:t>
            </w:r>
            <w:r>
              <w:rPr>
                <w:sz w:val="23"/>
                <w:szCs w:val="23"/>
              </w:rPr>
              <w:t>м</w:t>
            </w:r>
            <w:r w:rsidRPr="00157A2B">
              <w:rPr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-</w:t>
            </w:r>
            <w:r>
              <w:rPr>
                <w:sz w:val="23"/>
                <w:szCs w:val="23"/>
              </w:rPr>
              <w:t xml:space="preserve"> у </w:t>
            </w:r>
            <w:proofErr w:type="gramStart"/>
            <w:r>
              <w:rPr>
                <w:sz w:val="23"/>
                <w:szCs w:val="23"/>
              </w:rPr>
              <w:t>которых</w:t>
            </w:r>
            <w:proofErr w:type="gramEnd"/>
            <w:r>
              <w:rPr>
                <w:sz w:val="23"/>
                <w:szCs w:val="23"/>
              </w:rPr>
              <w:t xml:space="preserve"> имеется</w:t>
            </w:r>
            <w:r w:rsidRPr="00157A2B">
              <w:rPr>
                <w:sz w:val="23"/>
                <w:szCs w:val="23"/>
              </w:rPr>
              <w:t xml:space="preserve"> просроченная дебиторская задолженность перед бюджетом и поставщиками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8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9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Основные объёмы работ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157A2B">
              <w:rPr>
                <w:sz w:val="23"/>
                <w:szCs w:val="23"/>
                <w:lang w:val="en-US"/>
              </w:rPr>
              <w:t>h</w:t>
            </w:r>
            <w:r w:rsidRPr="00157A2B">
              <w:rPr>
                <w:sz w:val="23"/>
                <w:szCs w:val="23"/>
              </w:rPr>
              <w:t xml:space="preserve">, кровля из </w:t>
            </w:r>
            <w:proofErr w:type="spellStart"/>
            <w:r w:rsidRPr="00157A2B">
              <w:rPr>
                <w:sz w:val="23"/>
                <w:szCs w:val="23"/>
              </w:rPr>
              <w:t>профнастила</w:t>
            </w:r>
            <w:proofErr w:type="spellEnd"/>
            <w:r w:rsidRPr="00157A2B">
              <w:rPr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157A2B">
              <w:rPr>
                <w:sz w:val="23"/>
                <w:szCs w:val="23"/>
              </w:rPr>
              <w:t>минвата</w:t>
            </w:r>
            <w:proofErr w:type="spellEnd"/>
            <w:r w:rsidRPr="00157A2B">
              <w:rPr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157A2B">
              <w:rPr>
                <w:sz w:val="23"/>
                <w:szCs w:val="23"/>
              </w:rPr>
              <w:t>со</w:t>
            </w:r>
            <w:proofErr w:type="gramEnd"/>
            <w:r w:rsidRPr="00157A2B">
              <w:rPr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157A2B">
              <w:rPr>
                <w:sz w:val="23"/>
                <w:szCs w:val="23"/>
              </w:rPr>
              <w:t>отмостка</w:t>
            </w:r>
            <w:proofErr w:type="spellEnd"/>
            <w:r w:rsidRPr="00157A2B">
              <w:rPr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</w:t>
            </w:r>
            <w:r w:rsidRPr="00157A2B">
              <w:rPr>
                <w:sz w:val="23"/>
                <w:szCs w:val="23"/>
              </w:rPr>
              <w:lastRenderedPageBreak/>
              <w:t>деятельности Республики Узбекистан»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11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Руководитель работ, участвующий в ремонте: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-своевременно оформляет акты скрытых работ;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157A2B">
              <w:rPr>
                <w:sz w:val="23"/>
                <w:szCs w:val="23"/>
              </w:rPr>
              <w:t>согласно</w:t>
            </w:r>
            <w:proofErr w:type="gramEnd"/>
            <w:r w:rsidRPr="00157A2B">
              <w:rPr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12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13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  </w:t>
            </w:r>
            <w:proofErr w:type="gramStart"/>
            <w:r w:rsidRPr="00157A2B">
              <w:rPr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892F9C" w:rsidRPr="00157A2B" w:rsidTr="00B1609C">
        <w:tc>
          <w:tcPr>
            <w:tcW w:w="868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14</w:t>
            </w:r>
          </w:p>
        </w:tc>
        <w:tc>
          <w:tcPr>
            <w:tcW w:w="2453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50" w:type="dxa"/>
            <w:vAlign w:val="center"/>
          </w:tcPr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157A2B">
              <w:rPr>
                <w:sz w:val="23"/>
                <w:szCs w:val="23"/>
              </w:rPr>
              <w:t>дневный</w:t>
            </w:r>
            <w:proofErr w:type="spellEnd"/>
            <w:r w:rsidRPr="00157A2B">
              <w:rPr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892F9C" w:rsidRPr="00157A2B" w:rsidRDefault="00892F9C" w:rsidP="00B1609C">
            <w:pPr>
              <w:rPr>
                <w:sz w:val="23"/>
                <w:szCs w:val="23"/>
              </w:rPr>
            </w:pPr>
            <w:r w:rsidRPr="00157A2B">
              <w:rPr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5031E" w:rsidRPr="00301FEF" w:rsidRDefault="00E5031E" w:rsidP="00E5031E">
      <w:pPr>
        <w:spacing w:before="100" w:line="276" w:lineRule="auto"/>
        <w:ind w:firstLine="709"/>
        <w:jc w:val="center"/>
        <w:rPr>
          <w:sz w:val="24"/>
          <w:szCs w:val="24"/>
        </w:rPr>
      </w:pPr>
    </w:p>
    <w:p w:rsidR="00E5031E" w:rsidRPr="00301FEF" w:rsidRDefault="00E5031E" w:rsidP="00E5031E">
      <w:pPr>
        <w:spacing w:before="100" w:line="276" w:lineRule="auto"/>
        <w:ind w:firstLine="709"/>
        <w:jc w:val="both"/>
        <w:rPr>
          <w:sz w:val="28"/>
          <w:szCs w:val="28"/>
          <w:lang w:val="uz-Cyrl-UZ"/>
        </w:rPr>
      </w:pPr>
    </w:p>
    <w:sectPr w:rsidR="00E5031E" w:rsidRPr="0030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1E"/>
    <w:rsid w:val="00892F9C"/>
    <w:rsid w:val="00A3344C"/>
    <w:rsid w:val="00C22408"/>
    <w:rsid w:val="00C62284"/>
    <w:rsid w:val="00CC7596"/>
    <w:rsid w:val="00E5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2020-11-27T08:44:00Z</dcterms:created>
  <dcterms:modified xsi:type="dcterms:W3CDTF">2020-11-27T08:44:00Z</dcterms:modified>
</cp:coreProperties>
</file>